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01A6" w14:textId="77777777" w:rsidR="00DB1387" w:rsidRDefault="00DB1387" w:rsidP="00DB1387">
      <w:pPr>
        <w:pStyle w:val="Header"/>
        <w:rPr>
          <w:lang w:val="it-IT"/>
        </w:rPr>
      </w:pPr>
      <w:r w:rsidRPr="003C3CD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1B3FCAA" wp14:editId="73B6645F">
            <wp:simplePos x="0" y="0"/>
            <wp:positionH relativeFrom="column">
              <wp:posOffset>-438150</wp:posOffset>
            </wp:positionH>
            <wp:positionV relativeFrom="paragraph">
              <wp:posOffset>-29066</wp:posOffset>
            </wp:positionV>
            <wp:extent cx="2504908" cy="771525"/>
            <wp:effectExtent l="0" t="0" r="0" b="0"/>
            <wp:wrapNone/>
            <wp:docPr id="2" name="Picture 2" descr="E:\Academic services\Language Centre (L)\NewAblage\8 Sito Internet &amp; Cockpit\LOGO UNIBZ\unibz_trilingual_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cademic services\Language Centre (L)\NewAblage\8 Sito Internet &amp; Cockpit\LOGO UNIBZ\unibz_trilingual_blue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0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41D49" w14:textId="77777777" w:rsidR="00DB1387" w:rsidRPr="009D74DB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b/>
          <w:sz w:val="16"/>
          <w:szCs w:val="18"/>
          <w:lang w:val="de-DE"/>
        </w:rPr>
      </w:pPr>
      <w:r>
        <w:rPr>
          <w:lang w:val="it-IT"/>
        </w:rPr>
        <w:tab/>
      </w:r>
      <w:r>
        <w:rPr>
          <w:lang w:val="it-IT"/>
        </w:rPr>
        <w:tab/>
      </w:r>
      <w:r w:rsidRPr="009D74DB">
        <w:rPr>
          <w:rFonts w:ascii="Tahoma" w:hAnsi="Tahoma" w:cs="Tahoma"/>
          <w:b/>
          <w:sz w:val="16"/>
          <w:szCs w:val="18"/>
          <w:lang w:val="de-DE"/>
        </w:rPr>
        <w:t>Sprachenzentrum</w:t>
      </w:r>
    </w:p>
    <w:p w14:paraId="47E46D82" w14:textId="77777777" w:rsidR="00DB1387" w:rsidRPr="009D74DB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b/>
          <w:sz w:val="16"/>
          <w:szCs w:val="18"/>
          <w:lang w:val="de-DE"/>
        </w:rPr>
      </w:pPr>
      <w:r w:rsidRPr="009D74DB">
        <w:rPr>
          <w:rFonts w:ascii="Tahoma" w:hAnsi="Tahoma" w:cs="Tahoma"/>
          <w:b/>
          <w:sz w:val="16"/>
          <w:szCs w:val="18"/>
          <w:lang w:val="de-DE"/>
        </w:rPr>
        <w:tab/>
      </w:r>
      <w:r w:rsidRPr="009D74DB">
        <w:rPr>
          <w:rFonts w:ascii="Tahoma" w:hAnsi="Tahoma" w:cs="Tahoma"/>
          <w:b/>
          <w:sz w:val="16"/>
          <w:szCs w:val="18"/>
          <w:lang w:val="de-DE"/>
        </w:rPr>
        <w:tab/>
        <w:t xml:space="preserve">Centro </w:t>
      </w:r>
      <w:proofErr w:type="spellStart"/>
      <w:r w:rsidRPr="009D74DB">
        <w:rPr>
          <w:rFonts w:ascii="Tahoma" w:hAnsi="Tahoma" w:cs="Tahoma"/>
          <w:b/>
          <w:sz w:val="16"/>
          <w:szCs w:val="18"/>
          <w:lang w:val="de-DE"/>
        </w:rPr>
        <w:t>linguistico</w:t>
      </w:r>
      <w:proofErr w:type="spellEnd"/>
    </w:p>
    <w:p w14:paraId="2149F4F6" w14:textId="77777777" w:rsidR="00DB1387" w:rsidRPr="009D74DB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sz w:val="16"/>
          <w:szCs w:val="18"/>
          <w:lang w:val="de-DE"/>
        </w:rPr>
      </w:pPr>
      <w:r w:rsidRPr="009D74DB">
        <w:rPr>
          <w:rFonts w:ascii="Tahoma" w:hAnsi="Tahoma" w:cs="Tahoma"/>
          <w:b/>
          <w:sz w:val="16"/>
          <w:szCs w:val="18"/>
          <w:lang w:val="de-DE"/>
        </w:rPr>
        <w:tab/>
      </w:r>
      <w:r w:rsidRPr="009D74DB">
        <w:rPr>
          <w:rFonts w:ascii="Tahoma" w:hAnsi="Tahoma" w:cs="Tahoma"/>
          <w:b/>
          <w:sz w:val="16"/>
          <w:szCs w:val="18"/>
          <w:lang w:val="de-DE"/>
        </w:rPr>
        <w:tab/>
        <w:t>Language Centre</w:t>
      </w:r>
    </w:p>
    <w:p w14:paraId="2D4747F3" w14:textId="77777777" w:rsidR="00DB1387" w:rsidRPr="009D74DB" w:rsidRDefault="00DB1387" w:rsidP="00DB1387">
      <w:pPr>
        <w:pStyle w:val="Header"/>
        <w:rPr>
          <w:lang w:val="de-DE"/>
        </w:rPr>
      </w:pPr>
    </w:p>
    <w:p w14:paraId="22A0132A" w14:textId="77777777" w:rsidR="00DB1387" w:rsidRPr="009D74DB" w:rsidRDefault="00DB1387" w:rsidP="00DB1387">
      <w:pPr>
        <w:spacing w:before="54"/>
        <w:ind w:left="720"/>
        <w:rPr>
          <w:rFonts w:ascii="Tahoma" w:hAnsi="Tahoma" w:cs="Tahoma"/>
          <w:b/>
          <w:caps/>
          <w:color w:val="007CC3"/>
          <w:szCs w:val="20"/>
          <w:lang w:val="de-DE"/>
        </w:rPr>
      </w:pPr>
    </w:p>
    <w:p w14:paraId="1A97B64B" w14:textId="660739A3" w:rsidR="00736A57" w:rsidRPr="009D0908" w:rsidRDefault="00E51C88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 w:val="24"/>
          <w:lang w:val="de-DE"/>
        </w:rPr>
      </w:pPr>
      <w:r w:rsidRPr="009D0908">
        <w:rPr>
          <w:rFonts w:ascii="Tahoma" w:hAnsi="Tahoma" w:cs="Tahoma"/>
          <w:b/>
          <w:caps/>
          <w:color w:val="007CC3"/>
          <w:sz w:val="24"/>
          <w:lang w:val="de-DE"/>
        </w:rPr>
        <w:t>Pun</w:t>
      </w:r>
      <w:r w:rsidR="009D0908" w:rsidRPr="009D0908">
        <w:rPr>
          <w:rFonts w:ascii="Tahoma" w:hAnsi="Tahoma" w:cs="Tahoma"/>
          <w:b/>
          <w:caps/>
          <w:color w:val="007CC3"/>
          <w:sz w:val="24"/>
          <w:lang w:val="de-DE"/>
        </w:rPr>
        <w:t>kte und bewertungskriterie</w:t>
      </w:r>
      <w:r w:rsidR="009D0908">
        <w:rPr>
          <w:rFonts w:ascii="Tahoma" w:hAnsi="Tahoma" w:cs="Tahoma"/>
          <w:b/>
          <w:caps/>
          <w:color w:val="007CC3"/>
          <w:sz w:val="24"/>
          <w:lang w:val="de-DE"/>
        </w:rPr>
        <w:t>n</w:t>
      </w:r>
      <w:r w:rsidR="009D0908" w:rsidRPr="009D0908">
        <w:rPr>
          <w:rFonts w:ascii="Tahoma" w:hAnsi="Tahoma" w:cs="Tahoma"/>
          <w:b/>
          <w:caps/>
          <w:color w:val="007CC3"/>
          <w:sz w:val="24"/>
          <w:lang w:val="de-DE"/>
        </w:rPr>
        <w:t xml:space="preserve"> der sprachprüfung an der freien universit</w:t>
      </w:r>
      <w:r w:rsidR="00CC56A0">
        <w:rPr>
          <w:rFonts w:ascii="Tahoma" w:hAnsi="Tahoma" w:cs="Tahoma"/>
          <w:b/>
          <w:caps/>
          <w:color w:val="007CC3"/>
          <w:sz w:val="24"/>
          <w:lang w:val="de-DE"/>
        </w:rPr>
        <w:t>ä</w:t>
      </w:r>
      <w:r w:rsidR="009D0908" w:rsidRPr="009D0908">
        <w:rPr>
          <w:rFonts w:ascii="Tahoma" w:hAnsi="Tahoma" w:cs="Tahoma"/>
          <w:b/>
          <w:caps/>
          <w:color w:val="007CC3"/>
          <w:sz w:val="24"/>
          <w:lang w:val="de-DE"/>
        </w:rPr>
        <w:t xml:space="preserve">t bozen </w:t>
      </w:r>
    </w:p>
    <w:p w14:paraId="19A1BBC1" w14:textId="4B4D582B" w:rsidR="00DB1387" w:rsidRPr="00CC56A0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  <w:lang w:val="de-DE"/>
        </w:rPr>
      </w:pPr>
      <w:r w:rsidRPr="00CC56A0">
        <w:rPr>
          <w:rFonts w:ascii="Tahoma" w:hAnsi="Tahoma" w:cs="Tahoma"/>
          <w:b/>
          <w:caps/>
          <w:color w:val="007CC3"/>
          <w:szCs w:val="20"/>
          <w:lang w:val="de-DE"/>
        </w:rPr>
        <w:t>Modul I (</w:t>
      </w:r>
      <w:r w:rsidR="00CC56A0" w:rsidRPr="00CC56A0">
        <w:rPr>
          <w:rFonts w:ascii="Tahoma" w:hAnsi="Tahoma" w:cs="Tahoma"/>
          <w:b/>
          <w:caps/>
          <w:color w:val="007CC3"/>
          <w:szCs w:val="20"/>
          <w:lang w:val="de-DE"/>
        </w:rPr>
        <w:t>hören</w:t>
      </w:r>
      <w:r w:rsidRPr="00CC56A0">
        <w:rPr>
          <w:rFonts w:ascii="Tahoma" w:hAnsi="Tahoma" w:cs="Tahoma"/>
          <w:b/>
          <w:caps/>
          <w:color w:val="007CC3"/>
          <w:szCs w:val="20"/>
          <w:lang w:val="de-DE"/>
        </w:rPr>
        <w:t xml:space="preserve">, </w:t>
      </w:r>
      <w:r w:rsidR="00E51C88" w:rsidRPr="00CC56A0">
        <w:rPr>
          <w:rFonts w:ascii="Tahoma" w:hAnsi="Tahoma" w:cs="Tahoma"/>
          <w:b/>
          <w:caps/>
          <w:color w:val="007CC3"/>
          <w:szCs w:val="20"/>
          <w:lang w:val="de-DE"/>
        </w:rPr>
        <w:t>le</w:t>
      </w:r>
      <w:r w:rsidR="00CC56A0" w:rsidRPr="00CC56A0">
        <w:rPr>
          <w:rFonts w:ascii="Tahoma" w:hAnsi="Tahoma" w:cs="Tahoma"/>
          <w:b/>
          <w:caps/>
          <w:color w:val="007CC3"/>
          <w:szCs w:val="20"/>
          <w:lang w:val="de-DE"/>
        </w:rPr>
        <w:t>sen</w:t>
      </w:r>
      <w:r w:rsidRPr="00CC56A0">
        <w:rPr>
          <w:rFonts w:ascii="Tahoma" w:hAnsi="Tahoma" w:cs="Tahoma"/>
          <w:b/>
          <w:caps/>
          <w:color w:val="007CC3"/>
          <w:szCs w:val="20"/>
          <w:lang w:val="de-DE"/>
        </w:rPr>
        <w:t>)</w:t>
      </w:r>
    </w:p>
    <w:p w14:paraId="2C162454" w14:textId="73F3055B" w:rsidR="00DB1387" w:rsidRPr="00CC56A0" w:rsidRDefault="00CC56A0" w:rsidP="00DB1387">
      <w:pPr>
        <w:pStyle w:val="ListParagraph"/>
        <w:tabs>
          <w:tab w:val="left" w:pos="1080"/>
        </w:tabs>
        <w:spacing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CC56A0">
        <w:rPr>
          <w:rFonts w:ascii="Tahoma" w:eastAsia="Century Gothic" w:hAnsi="Tahoma" w:cs="Tahoma"/>
          <w:color w:val="231F20"/>
          <w:sz w:val="20"/>
          <w:szCs w:val="20"/>
          <w:lang w:val="de-DE"/>
        </w:rPr>
        <w:t>Um Modul I zu bestehen, das Voraussetzung für die anderen 2 Module ist, müssen mindestens 60% der verfügbaren Punkte erreicht werden (24 von 40 Punkten).</w:t>
      </w:r>
    </w:p>
    <w:p w14:paraId="540C5665" w14:textId="476A5393" w:rsidR="00DB1387" w:rsidRPr="00472558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  <w:lang w:val="de-DE"/>
        </w:rPr>
      </w:pPr>
      <w:r w:rsidRPr="00472558">
        <w:rPr>
          <w:rFonts w:ascii="Tahoma" w:hAnsi="Tahoma" w:cs="Tahoma"/>
          <w:b/>
          <w:caps/>
          <w:color w:val="007CC3"/>
          <w:szCs w:val="20"/>
          <w:lang w:val="de-DE"/>
        </w:rPr>
        <w:t>Modul II (</w:t>
      </w:r>
      <w:r w:rsidR="00CC56A0" w:rsidRPr="00472558">
        <w:rPr>
          <w:rFonts w:ascii="Tahoma" w:hAnsi="Tahoma" w:cs="Tahoma"/>
          <w:b/>
          <w:caps/>
          <w:color w:val="007CC3"/>
          <w:szCs w:val="20"/>
          <w:lang w:val="de-DE"/>
        </w:rPr>
        <w:t>schriftliche produktion</w:t>
      </w:r>
      <w:r w:rsidRPr="00472558">
        <w:rPr>
          <w:rFonts w:ascii="Tahoma" w:hAnsi="Tahoma" w:cs="Tahoma"/>
          <w:b/>
          <w:caps/>
          <w:color w:val="007CC3"/>
          <w:szCs w:val="20"/>
          <w:lang w:val="de-DE"/>
        </w:rPr>
        <w:t>)</w:t>
      </w:r>
    </w:p>
    <w:p w14:paraId="58FC75A6" w14:textId="2B4101E7" w:rsidR="00DB1387" w:rsidRPr="00472558" w:rsidRDefault="00472558" w:rsidP="009E1E02">
      <w:pPr>
        <w:pStyle w:val="ListParagraph"/>
        <w:tabs>
          <w:tab w:val="left" w:pos="1080"/>
        </w:tabs>
        <w:spacing w:line="276" w:lineRule="auto"/>
        <w:ind w:right="-9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472558">
        <w:rPr>
          <w:rFonts w:ascii="Tahoma" w:eastAsia="Century Gothic" w:hAnsi="Tahoma" w:cs="Tahoma"/>
          <w:color w:val="231F20"/>
          <w:sz w:val="20"/>
          <w:szCs w:val="20"/>
          <w:lang w:val="de-DE"/>
        </w:rPr>
        <w:t>Die schriftlichen Prüfungen werden nach den folgenden vier Kriterien bewertet, jeweils mit einer Punktzahl von 0 bis 5:</w:t>
      </w:r>
    </w:p>
    <w:p w14:paraId="683A573D" w14:textId="2A4DC6B9" w:rsidR="00DB1387" w:rsidRPr="00472558" w:rsidRDefault="00472558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472558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Angemessenheit und Aufgabenerfüllung:</w:t>
      </w:r>
      <w:r w:rsidR="00DB1387" w:rsidRPr="00472558">
        <w:rPr>
          <w:rFonts w:ascii="Tahoma" w:eastAsia="Century Gothic" w:hAnsi="Tahoma" w:cs="Tahoma"/>
          <w:color w:val="231F20"/>
          <w:sz w:val="20"/>
          <w:szCs w:val="20"/>
          <w:lang w:val="de-DE"/>
        </w:rPr>
        <w:t xml:space="preserve"> </w:t>
      </w:r>
      <w:r w:rsidRPr="00472558">
        <w:rPr>
          <w:rFonts w:ascii="Tahoma" w:eastAsia="Century Gothic" w:hAnsi="Tahoma" w:cs="Tahoma"/>
          <w:color w:val="231F20"/>
          <w:sz w:val="20"/>
          <w:szCs w:val="20"/>
          <w:lang w:val="de-DE"/>
        </w:rPr>
        <w:t>Bewertet die Vollständigkeit, Relevanz und Tiefe, mit der die geforderten Punkte behandelt werden.</w:t>
      </w:r>
    </w:p>
    <w:p w14:paraId="4559D926" w14:textId="6EC15DA8" w:rsidR="005B18A7" w:rsidRPr="00850558" w:rsidRDefault="005B18A7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850558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Le</w:t>
      </w:r>
      <w:r w:rsidR="00472558" w:rsidRPr="00850558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xik</w:t>
      </w:r>
      <w:r w:rsidRPr="00850558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:</w:t>
      </w:r>
      <w:r w:rsidRPr="00850558">
        <w:rPr>
          <w:lang w:val="de-DE"/>
        </w:rPr>
        <w:t xml:space="preserve"> </w:t>
      </w:r>
      <w:r w:rsidR="00850558" w:rsidRPr="00850558">
        <w:rPr>
          <w:rFonts w:ascii="Tahoma" w:eastAsia="Century Gothic" w:hAnsi="Tahoma" w:cs="Tahoma"/>
          <w:color w:val="231F20"/>
          <w:sz w:val="20"/>
          <w:szCs w:val="20"/>
          <w:lang w:val="de-DE"/>
        </w:rPr>
        <w:t>Berücksichtigt den Umfang und die Angemessenheit des Vokabulars, den Einsatz von Synonymen, Kollokationen und die Fähigkeit, eventuelle Lücken zu kompensieren.</w:t>
      </w:r>
    </w:p>
    <w:p w14:paraId="0BF76AED" w14:textId="444F36F0" w:rsidR="00DB1387" w:rsidRPr="003F3559" w:rsidRDefault="003F3559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3F3559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Grammatik, Rechtschreibung und Interpunktion:</w:t>
      </w:r>
      <w:r w:rsidR="00353510" w:rsidRPr="003F3559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 xml:space="preserve"> </w:t>
      </w:r>
      <w:r w:rsidRPr="003F3559">
        <w:rPr>
          <w:rFonts w:ascii="Tahoma" w:eastAsia="Century Gothic" w:hAnsi="Tahoma" w:cs="Tahoma"/>
          <w:color w:val="231F20"/>
          <w:sz w:val="20"/>
          <w:szCs w:val="20"/>
          <w:lang w:val="de-DE"/>
        </w:rPr>
        <w:t>Misst die Vielfalt und Korrektheit der grammatikalischen Strukturen sowie die Rechtschreibgenauigkeit und den Einsatz der Zeichensetzung</w:t>
      </w:r>
      <w:r w:rsidR="008206BC" w:rsidRPr="003F3559">
        <w:rPr>
          <w:rFonts w:ascii="Tahoma" w:eastAsia="Century Gothic" w:hAnsi="Tahoma" w:cs="Tahoma"/>
          <w:color w:val="231F20"/>
          <w:sz w:val="20"/>
          <w:szCs w:val="20"/>
          <w:lang w:val="de-DE"/>
        </w:rPr>
        <w:t>.</w:t>
      </w:r>
    </w:p>
    <w:p w14:paraId="2DCDC75D" w14:textId="1FB4F7BF" w:rsidR="00DB1387" w:rsidRPr="002F65CB" w:rsidRDefault="005121CB" w:rsidP="002F65CB">
      <w:pPr>
        <w:pStyle w:val="ListParagraph"/>
        <w:tabs>
          <w:tab w:val="left" w:pos="1080"/>
        </w:tabs>
        <w:spacing w:before="160" w:line="276" w:lineRule="auto"/>
        <w:ind w:left="1080" w:right="173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5121CB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 xml:space="preserve">Kohärenz und Kohäsion: </w:t>
      </w:r>
      <w:r w:rsidR="002F65CB" w:rsidRPr="002F65CB">
        <w:rPr>
          <w:rFonts w:ascii="Tahoma" w:eastAsia="Century Gothic" w:hAnsi="Tahoma" w:cs="Tahoma"/>
          <w:color w:val="231F20"/>
          <w:sz w:val="20"/>
          <w:szCs w:val="20"/>
          <w:lang w:val="de-DE"/>
        </w:rPr>
        <w:t>Um Modul II zu bestehen, müssen mindestens 60 % der verfügbaren Punkte erreicht werden (12 von 20).</w:t>
      </w:r>
    </w:p>
    <w:p w14:paraId="2FC1F8A4" w14:textId="1C28A51A" w:rsidR="00DB1387" w:rsidRPr="002F65CB" w:rsidRDefault="00B27196" w:rsidP="0050268E">
      <w:pPr>
        <w:pStyle w:val="ListParagraph"/>
        <w:tabs>
          <w:tab w:val="left" w:pos="1080"/>
        </w:tabs>
        <w:spacing w:before="240"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B27196">
        <w:rPr>
          <w:rFonts w:ascii="Tahoma" w:eastAsia="Century Gothic" w:hAnsi="Tahoma" w:cs="Tahoma"/>
          <w:color w:val="231F20"/>
          <w:sz w:val="20"/>
          <w:szCs w:val="20"/>
          <w:lang w:val="de-DE"/>
        </w:rPr>
        <w:t>Um Modul II zu bestehen, müssen mindestens 60 % der verfügbaren Punkte erreicht werden (12 von 20).</w:t>
      </w:r>
    </w:p>
    <w:p w14:paraId="49A359F4" w14:textId="3405E64F" w:rsidR="00E75FC7" w:rsidRPr="00D45C0B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  <w:lang w:val="de-DE"/>
        </w:rPr>
      </w:pPr>
      <w:r w:rsidRPr="00D45C0B">
        <w:rPr>
          <w:rFonts w:ascii="Tahoma" w:hAnsi="Tahoma" w:cs="Tahoma"/>
          <w:b/>
          <w:caps/>
          <w:color w:val="007CC3"/>
          <w:szCs w:val="20"/>
          <w:lang w:val="de-DE"/>
        </w:rPr>
        <w:t>Modul III (</w:t>
      </w:r>
      <w:r w:rsidR="0039400D">
        <w:rPr>
          <w:rFonts w:ascii="Tahoma" w:hAnsi="Tahoma" w:cs="Tahoma"/>
          <w:b/>
          <w:caps/>
          <w:color w:val="007CC3"/>
          <w:szCs w:val="20"/>
          <w:lang w:val="de-DE"/>
        </w:rPr>
        <w:t>mündliche produktion</w:t>
      </w:r>
      <w:r w:rsidRPr="00D45C0B">
        <w:rPr>
          <w:rFonts w:ascii="Tahoma" w:hAnsi="Tahoma" w:cs="Tahoma"/>
          <w:b/>
          <w:caps/>
          <w:color w:val="007CC3"/>
          <w:szCs w:val="20"/>
          <w:lang w:val="de-DE"/>
        </w:rPr>
        <w:t>)</w:t>
      </w:r>
    </w:p>
    <w:p w14:paraId="5CF2442E" w14:textId="101FD28F" w:rsidR="00DB1387" w:rsidRPr="00D45C0B" w:rsidRDefault="00D45C0B" w:rsidP="00E75FC7">
      <w:pPr>
        <w:pStyle w:val="ListParagraph"/>
        <w:tabs>
          <w:tab w:val="left" w:pos="1080"/>
        </w:tabs>
        <w:spacing w:line="276" w:lineRule="auto"/>
        <w:ind w:right="173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D45C0B">
        <w:rPr>
          <w:rFonts w:ascii="Tahoma" w:eastAsia="Century Gothic" w:hAnsi="Tahoma" w:cs="Tahoma"/>
          <w:color w:val="231F20"/>
          <w:sz w:val="20"/>
          <w:szCs w:val="20"/>
          <w:lang w:val="de-DE"/>
        </w:rPr>
        <w:t>Die mündlichen Prüfungen werden nach den folgenden vier Kriterien bewertet, jeweils mit einer Punktzahl von 0 bis 5:</w:t>
      </w:r>
    </w:p>
    <w:p w14:paraId="50B14E3A" w14:textId="6C239CD7" w:rsidR="00DB1387" w:rsidRPr="00D45C0B" w:rsidRDefault="00D45C0B" w:rsidP="00E75FC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D45C0B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Angemessenheit und Aufgabenerfüllung:</w:t>
      </w:r>
      <w:r w:rsidR="00DB1387" w:rsidRPr="00D45C0B">
        <w:rPr>
          <w:rFonts w:ascii="Tahoma" w:eastAsia="Century Gothic" w:hAnsi="Tahoma" w:cs="Tahoma"/>
          <w:color w:val="231F20"/>
          <w:sz w:val="20"/>
          <w:szCs w:val="20"/>
          <w:lang w:val="de-DE"/>
        </w:rPr>
        <w:t xml:space="preserve"> </w:t>
      </w:r>
      <w:r w:rsidRPr="00D45C0B">
        <w:rPr>
          <w:rFonts w:ascii="Tahoma" w:eastAsia="Century Gothic" w:hAnsi="Tahoma" w:cs="Tahoma"/>
          <w:color w:val="231F20"/>
          <w:sz w:val="20"/>
          <w:szCs w:val="20"/>
          <w:lang w:val="de-DE"/>
        </w:rPr>
        <w:t>Bezieht sich auf die Fähigkeit, die gestellten Aufgaben zu erfüllen, die Rede zu strukturieren und die Relevanz der Inhalte sicherzustellen.</w:t>
      </w:r>
    </w:p>
    <w:p w14:paraId="6C0F860C" w14:textId="7E24378E" w:rsidR="00DB1387" w:rsidRPr="00FC663C" w:rsidRDefault="00BE4C09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FC663C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Le</w:t>
      </w:r>
      <w:r w:rsidR="0039400D" w:rsidRPr="00FC663C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xik</w:t>
      </w:r>
      <w:r w:rsidRPr="00FC663C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:</w:t>
      </w:r>
      <w:r w:rsidR="00DB1387" w:rsidRPr="00FC663C">
        <w:rPr>
          <w:rFonts w:ascii="Tahoma" w:eastAsia="Century Gothic" w:hAnsi="Tahoma" w:cs="Tahoma"/>
          <w:color w:val="231F20"/>
          <w:sz w:val="20"/>
          <w:szCs w:val="20"/>
          <w:lang w:val="de-DE"/>
        </w:rPr>
        <w:t xml:space="preserve"> </w:t>
      </w:r>
      <w:r w:rsidR="00FC663C" w:rsidRPr="00FC663C">
        <w:rPr>
          <w:rFonts w:ascii="Tahoma" w:eastAsia="Century Gothic" w:hAnsi="Tahoma" w:cs="Tahoma"/>
          <w:color w:val="231F20"/>
          <w:sz w:val="20"/>
          <w:szCs w:val="20"/>
          <w:lang w:val="de-DE"/>
        </w:rPr>
        <w:t>Bewertet den Umfang des Vokabulars, die Fähigkeit, sich klar auszudrücken und eventuelle Lücken zu kompensieren.</w:t>
      </w:r>
    </w:p>
    <w:p w14:paraId="6408877C" w14:textId="64162BAC" w:rsidR="006C205A" w:rsidRPr="00FC663C" w:rsidRDefault="00FC663C" w:rsidP="00783E1D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FC663C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 xml:space="preserve">Grammatik: </w:t>
      </w:r>
      <w:r w:rsidRPr="00FC663C">
        <w:rPr>
          <w:rFonts w:ascii="Tahoma" w:eastAsia="Century Gothic" w:hAnsi="Tahoma" w:cs="Tahoma"/>
          <w:color w:val="231F20"/>
          <w:sz w:val="20"/>
          <w:szCs w:val="20"/>
          <w:lang w:val="de-DE"/>
        </w:rPr>
        <w:t>Berücksichtigt die Vielfalt und Korrektheit der verwendeten grammatikalischen Strukturen.</w:t>
      </w:r>
    </w:p>
    <w:p w14:paraId="7072E128" w14:textId="77777777" w:rsidR="00AB058C" w:rsidRDefault="00AB058C" w:rsidP="00AB058C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AB058C">
        <w:rPr>
          <w:rFonts w:ascii="Tahoma" w:eastAsia="Century Gothic" w:hAnsi="Tahoma" w:cs="Tahoma"/>
          <w:b/>
          <w:bCs/>
          <w:color w:val="231F20"/>
          <w:sz w:val="20"/>
          <w:szCs w:val="20"/>
          <w:lang w:val="de-DE"/>
        </w:rPr>
        <w:t>Flüssigkeit, Aussprache und Intonation:</w:t>
      </w:r>
      <w:r w:rsidR="00DB1387" w:rsidRPr="00AB058C">
        <w:rPr>
          <w:rFonts w:ascii="Tahoma" w:eastAsia="Century Gothic" w:hAnsi="Tahoma" w:cs="Tahoma"/>
          <w:color w:val="231F20"/>
          <w:sz w:val="20"/>
          <w:szCs w:val="20"/>
          <w:lang w:val="de-DE"/>
        </w:rPr>
        <w:t xml:space="preserve"> </w:t>
      </w:r>
      <w:r w:rsidRPr="00AB058C">
        <w:rPr>
          <w:rFonts w:ascii="Tahoma" w:eastAsia="Century Gothic" w:hAnsi="Tahoma" w:cs="Tahoma"/>
          <w:color w:val="231F20"/>
          <w:sz w:val="20"/>
          <w:szCs w:val="20"/>
          <w:lang w:val="de-DE"/>
        </w:rPr>
        <w:t>Misst die Sprachflüssigkeit, die Klarheit der Aussprache und den Einsatz der Intonation.</w:t>
      </w:r>
    </w:p>
    <w:p w14:paraId="69AE3B61" w14:textId="35A410D6" w:rsidR="00E75FC7" w:rsidRPr="00AB058C" w:rsidRDefault="00AB058C" w:rsidP="00AB058C">
      <w:pPr>
        <w:pStyle w:val="ListParagraph"/>
        <w:tabs>
          <w:tab w:val="left" w:pos="1080"/>
        </w:tabs>
        <w:spacing w:before="240"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de-DE"/>
        </w:rPr>
      </w:pPr>
      <w:r w:rsidRPr="00AB058C">
        <w:rPr>
          <w:rFonts w:ascii="Tahoma" w:eastAsia="Century Gothic" w:hAnsi="Tahoma" w:cs="Tahoma"/>
          <w:color w:val="231F20"/>
          <w:sz w:val="20"/>
          <w:szCs w:val="20"/>
          <w:lang w:val="de-DE"/>
        </w:rPr>
        <w:t>Um Modul III zu bestehen, müssen mindestens 60 % der verfügbaren Punkte erreicht werden (12 von 20).</w:t>
      </w:r>
    </w:p>
    <w:sectPr w:rsidR="00E75FC7" w:rsidRPr="00AB058C" w:rsidSect="00E75FC7">
      <w:footerReference w:type="default" r:id="rId8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1F43" w14:textId="77777777" w:rsidR="00685A7F" w:rsidRDefault="00685A7F" w:rsidP="009D74DB">
      <w:r>
        <w:separator/>
      </w:r>
    </w:p>
  </w:endnote>
  <w:endnote w:type="continuationSeparator" w:id="0">
    <w:p w14:paraId="1F4AFB32" w14:textId="77777777" w:rsidR="00685A7F" w:rsidRDefault="00685A7F" w:rsidP="009D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2103" w14:textId="77777777" w:rsidR="009D74DB" w:rsidRPr="00074D6A" w:rsidRDefault="009D74DB" w:rsidP="009D74DB">
    <w:pPr>
      <w:pStyle w:val="Footer"/>
      <w:pBdr>
        <w:top w:val="single" w:sz="4" w:space="1" w:color="auto"/>
      </w:pBdr>
      <w:spacing w:before="12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482901">
      <w:rPr>
        <w:rFonts w:ascii="Tahoma" w:hAnsi="Tahoma" w:cs="Tahoma"/>
        <w:sz w:val="16"/>
        <w:szCs w:val="16"/>
      </w:rPr>
      <w:fldChar w:fldCharType="begin"/>
    </w:r>
    <w:r w:rsidRPr="00482901">
      <w:rPr>
        <w:rFonts w:ascii="Tahoma" w:hAnsi="Tahoma" w:cs="Tahoma"/>
        <w:sz w:val="16"/>
        <w:szCs w:val="16"/>
      </w:rPr>
      <w:instrText xml:space="preserve"> PAGE   \* MERGEFORMAT </w:instrText>
    </w:r>
    <w:r w:rsidRPr="0048290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1</w:t>
    </w:r>
    <w:r w:rsidRPr="00482901">
      <w:rPr>
        <w:rFonts w:ascii="Tahoma" w:hAnsi="Tahoma" w:cs="Tahoma"/>
        <w:noProof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  <w:t xml:space="preserve">Rev.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DATE   \* MERGEFORMAT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26.06.2025</w:t>
    </w:r>
    <w:r>
      <w:rPr>
        <w:rFonts w:ascii="Tahoma" w:hAnsi="Tahoma" w:cs="Tahoma"/>
        <w:sz w:val="16"/>
        <w:szCs w:val="16"/>
      </w:rPr>
      <w:fldChar w:fldCharType="end"/>
    </w:r>
  </w:p>
  <w:p w14:paraId="637B96D6" w14:textId="77777777" w:rsidR="009D74DB" w:rsidRDefault="009D7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C903" w14:textId="77777777" w:rsidR="00685A7F" w:rsidRDefault="00685A7F" w:rsidP="009D74DB">
      <w:r>
        <w:separator/>
      </w:r>
    </w:p>
  </w:footnote>
  <w:footnote w:type="continuationSeparator" w:id="0">
    <w:p w14:paraId="0BA419EF" w14:textId="77777777" w:rsidR="00685A7F" w:rsidRDefault="00685A7F" w:rsidP="009D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E58A8"/>
    <w:multiLevelType w:val="hybridMultilevel"/>
    <w:tmpl w:val="E71CC7D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7412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87"/>
    <w:rsid w:val="00014640"/>
    <w:rsid w:val="00087DC1"/>
    <w:rsid w:val="00126BC0"/>
    <w:rsid w:val="00151E75"/>
    <w:rsid w:val="00161CF7"/>
    <w:rsid w:val="001B1F64"/>
    <w:rsid w:val="002208FC"/>
    <w:rsid w:val="0027516A"/>
    <w:rsid w:val="002D1101"/>
    <w:rsid w:val="002F65CB"/>
    <w:rsid w:val="003062B5"/>
    <w:rsid w:val="00353510"/>
    <w:rsid w:val="00377555"/>
    <w:rsid w:val="0039400D"/>
    <w:rsid w:val="003A60F1"/>
    <w:rsid w:val="003F3559"/>
    <w:rsid w:val="00472558"/>
    <w:rsid w:val="0050268E"/>
    <w:rsid w:val="00511007"/>
    <w:rsid w:val="005121CB"/>
    <w:rsid w:val="00541D7F"/>
    <w:rsid w:val="005B18A7"/>
    <w:rsid w:val="006319E5"/>
    <w:rsid w:val="00685A7F"/>
    <w:rsid w:val="006A503D"/>
    <w:rsid w:val="006C205A"/>
    <w:rsid w:val="006D519E"/>
    <w:rsid w:val="00736A57"/>
    <w:rsid w:val="00783E1D"/>
    <w:rsid w:val="008206BC"/>
    <w:rsid w:val="00850558"/>
    <w:rsid w:val="00855EC0"/>
    <w:rsid w:val="008F5136"/>
    <w:rsid w:val="00920517"/>
    <w:rsid w:val="0099216B"/>
    <w:rsid w:val="009D0908"/>
    <w:rsid w:val="009D74DB"/>
    <w:rsid w:val="009E1E02"/>
    <w:rsid w:val="00AB058C"/>
    <w:rsid w:val="00AD4F5A"/>
    <w:rsid w:val="00B0146E"/>
    <w:rsid w:val="00B27196"/>
    <w:rsid w:val="00BE4C09"/>
    <w:rsid w:val="00C33951"/>
    <w:rsid w:val="00CC56A0"/>
    <w:rsid w:val="00D45C0B"/>
    <w:rsid w:val="00D85B3C"/>
    <w:rsid w:val="00DB1387"/>
    <w:rsid w:val="00E51C88"/>
    <w:rsid w:val="00E75FC7"/>
    <w:rsid w:val="00F60F5E"/>
    <w:rsid w:val="00F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9DFAE"/>
  <w15:chartTrackingRefBased/>
  <w15:docId w15:val="{3FD38C03-ACFA-4C87-AA7F-A643407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FC7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8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8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B138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7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75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Zordan Micaela</dc:creator>
  <cp:keywords/>
  <dc:description/>
  <cp:lastModifiedBy>Zordan Micaela</cp:lastModifiedBy>
  <cp:revision>40</cp:revision>
  <dcterms:created xsi:type="dcterms:W3CDTF">2025-06-25T07:32:00Z</dcterms:created>
  <dcterms:modified xsi:type="dcterms:W3CDTF">2025-06-26T08:48:00Z</dcterms:modified>
</cp:coreProperties>
</file>